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9" w:rsidRPr="00046DB4" w:rsidRDefault="002178E9" w:rsidP="00217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3F43" w:rsidRDefault="002178E9" w:rsidP="00EF3F4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6D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</w:t>
      </w:r>
      <w:r w:rsidR="00EF3F4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</w:t>
      </w:r>
    </w:p>
    <w:p w:rsidR="002178E9" w:rsidRDefault="00EF3F43" w:rsidP="00EF3F4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</w:t>
      </w:r>
      <w:r w:rsidR="00146D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</w:t>
      </w:r>
      <w:r w:rsidR="002178E9" w:rsidRPr="00046D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9275C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178E9" w:rsidRPr="00046D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2178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B0" w:rsidRDefault="00146DB0" w:rsidP="00EF3F4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78E9" w:rsidRPr="00EF3F43" w:rsidRDefault="002178E9" w:rsidP="0021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78E9" w:rsidRPr="00EF3F43" w:rsidRDefault="00CA46AF" w:rsidP="0021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8E9" w:rsidRPr="00EF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СВЕРДЛОВСКОЕ 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78E9" w:rsidRPr="00EF3F43" w:rsidRDefault="002178E9" w:rsidP="0021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2178E9" w:rsidRPr="00EF3F43" w:rsidRDefault="002178E9" w:rsidP="0021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178E9" w:rsidRPr="00EF3F43" w:rsidRDefault="002178E9" w:rsidP="0021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8E9" w:rsidRPr="00EF3F43" w:rsidRDefault="002178E9" w:rsidP="0021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178E9" w:rsidRPr="00EF3F43" w:rsidRDefault="002178E9" w:rsidP="0021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E9" w:rsidRPr="00EF3F43" w:rsidRDefault="002178E9" w:rsidP="002178E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F4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178E9" w:rsidRPr="00EF3F43" w:rsidRDefault="002178E9" w:rsidP="0021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E9" w:rsidRPr="00EF3F43" w:rsidRDefault="002178E9" w:rsidP="0021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6599" w:rsidRPr="00CC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CC65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EF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71036" w:rsidRPr="00EF3F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09                 </w:t>
      </w:r>
      <w:r w:rsidRPr="00EF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0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городской поселок имени Свердлова</w:t>
      </w:r>
    </w:p>
    <w:p w:rsidR="002178E9" w:rsidRDefault="002178E9" w:rsidP="002178E9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EF3F43" w:rsidTr="00146DB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3F43" w:rsidRPr="00EF3F43" w:rsidRDefault="00EF3F43" w:rsidP="00FA7F89">
            <w:pPr>
              <w:pStyle w:val="Style3"/>
              <w:widowControl/>
              <w:spacing w:line="240" w:lineRule="auto"/>
              <w:jc w:val="both"/>
              <w:rPr>
                <w:rStyle w:val="FontStyle13"/>
                <w:b/>
                <w:sz w:val="24"/>
                <w:szCs w:val="24"/>
              </w:rPr>
            </w:pPr>
            <w:r w:rsidRPr="00EF3F43">
              <w:rPr>
                <w:rStyle w:val="FontStyle13"/>
                <w:b/>
                <w:sz w:val="24"/>
                <w:szCs w:val="24"/>
              </w:rPr>
              <w:t>О   передаче    полномочий  в    области</w:t>
            </w:r>
            <w:r w:rsidR="00146DB0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EF3F43">
              <w:rPr>
                <w:rStyle w:val="FontStyle13"/>
                <w:b/>
                <w:sz w:val="24"/>
                <w:szCs w:val="24"/>
              </w:rPr>
              <w:t>архитектуры      и    градостроительства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EF3F43">
              <w:rPr>
                <w:rStyle w:val="FontStyle13"/>
                <w:b/>
                <w:sz w:val="24"/>
                <w:szCs w:val="24"/>
              </w:rPr>
              <w:t>муниципального</w:t>
            </w:r>
            <w:r>
              <w:rPr>
                <w:rStyle w:val="FontStyle13"/>
                <w:b/>
                <w:sz w:val="24"/>
                <w:szCs w:val="24"/>
              </w:rPr>
              <w:t xml:space="preserve"> о</w:t>
            </w:r>
            <w:r w:rsidRPr="00EF3F43">
              <w:rPr>
                <w:rStyle w:val="FontStyle13"/>
                <w:b/>
                <w:sz w:val="24"/>
                <w:szCs w:val="24"/>
              </w:rPr>
              <w:t xml:space="preserve">бразования «Свердловское   городское  </w:t>
            </w:r>
            <w:r>
              <w:rPr>
                <w:rStyle w:val="FontStyle13"/>
                <w:b/>
                <w:sz w:val="24"/>
                <w:szCs w:val="24"/>
              </w:rPr>
              <w:t>п</w:t>
            </w:r>
            <w:r w:rsidRPr="00EF3F43">
              <w:rPr>
                <w:rStyle w:val="FontStyle13"/>
                <w:b/>
                <w:sz w:val="24"/>
                <w:szCs w:val="24"/>
              </w:rPr>
              <w:t>оселение» Всеволожского муниципального района Ленинградской области</w:t>
            </w:r>
          </w:p>
          <w:p w:rsidR="00EF3F43" w:rsidRDefault="00EF3F43" w:rsidP="002178E9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</w:tbl>
    <w:p w:rsidR="002178E9" w:rsidRPr="00EF3F43" w:rsidRDefault="002178E9" w:rsidP="00FA7F89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EF3F43">
        <w:rPr>
          <w:rStyle w:val="FontStyle13"/>
          <w:sz w:val="24"/>
          <w:szCs w:val="24"/>
        </w:rPr>
        <w:t>Заслушав об</w:t>
      </w:r>
      <w:r w:rsidR="00EF3F43" w:rsidRPr="00EF3F43">
        <w:rPr>
          <w:rStyle w:val="FontStyle13"/>
          <w:sz w:val="24"/>
          <w:szCs w:val="24"/>
        </w:rPr>
        <w:t>ращение главы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Pr="00EF3F43">
        <w:rPr>
          <w:rStyle w:val="FontStyle13"/>
          <w:sz w:val="24"/>
          <w:szCs w:val="24"/>
        </w:rPr>
        <w:t xml:space="preserve"> Павловича А.П</w:t>
      </w:r>
      <w:r w:rsidRPr="00EF3F43">
        <w:rPr>
          <w:rStyle w:val="FontStyle11"/>
          <w:b w:val="0"/>
          <w:sz w:val="24"/>
          <w:szCs w:val="24"/>
        </w:rPr>
        <w:t>.,</w:t>
      </w:r>
      <w:r w:rsidRPr="00EF3F43">
        <w:rPr>
          <w:rStyle w:val="FontStyle11"/>
          <w:sz w:val="24"/>
          <w:szCs w:val="24"/>
        </w:rPr>
        <w:t xml:space="preserve"> </w:t>
      </w:r>
      <w:r w:rsidRPr="00EF3F43">
        <w:rPr>
          <w:rStyle w:val="FontStyle13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«Свердловское городское поселение» Всеволожского муниципального района Ленинградской области, совет депутатов </w:t>
      </w:r>
      <w:r w:rsidR="00FA7F89" w:rsidRPr="00EF3F43">
        <w:rPr>
          <w:rStyle w:val="FontStyle13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F3F43">
        <w:rPr>
          <w:rStyle w:val="FontStyle13"/>
          <w:sz w:val="24"/>
          <w:szCs w:val="24"/>
        </w:rPr>
        <w:t xml:space="preserve"> </w:t>
      </w:r>
      <w:r w:rsidR="00FA7F89">
        <w:rPr>
          <w:rStyle w:val="FontStyle13"/>
          <w:sz w:val="24"/>
          <w:szCs w:val="24"/>
        </w:rPr>
        <w:t xml:space="preserve">(далее – совет депутатов) </w:t>
      </w:r>
      <w:r w:rsidR="00EF3F43" w:rsidRPr="00EF3F43">
        <w:rPr>
          <w:rStyle w:val="FontStyle11"/>
          <w:sz w:val="24"/>
          <w:szCs w:val="24"/>
        </w:rPr>
        <w:t>РЕШИЛ</w:t>
      </w:r>
      <w:r w:rsidRPr="00EF3F43">
        <w:rPr>
          <w:rStyle w:val="FontStyle11"/>
          <w:sz w:val="24"/>
          <w:szCs w:val="24"/>
        </w:rPr>
        <w:t>:</w:t>
      </w:r>
    </w:p>
    <w:p w:rsidR="00EF3F43" w:rsidRPr="00EF3F43" w:rsidRDefault="00EF3F43" w:rsidP="00FA7F89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2178E9" w:rsidRPr="00EF3F43" w:rsidRDefault="002178E9" w:rsidP="00A06C32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EF3F43">
        <w:rPr>
          <w:rStyle w:val="FontStyle13"/>
          <w:sz w:val="24"/>
          <w:szCs w:val="24"/>
        </w:rPr>
        <w:t xml:space="preserve">1. </w:t>
      </w:r>
      <w:r w:rsidR="00FA7F89">
        <w:rPr>
          <w:rStyle w:val="FontStyle13"/>
          <w:sz w:val="24"/>
          <w:szCs w:val="24"/>
        </w:rPr>
        <w:t xml:space="preserve">Передать </w:t>
      </w:r>
      <w:r w:rsidRPr="00EF3F43">
        <w:rPr>
          <w:rStyle w:val="FontStyle13"/>
          <w:sz w:val="24"/>
          <w:szCs w:val="24"/>
        </w:rPr>
        <w:t xml:space="preserve">часть полномочий в области архитектуры и градостроительства муниципального образования «Свердловское городское поселение» </w:t>
      </w:r>
      <w:r w:rsidR="00906109" w:rsidRPr="00EF3F43">
        <w:rPr>
          <w:rStyle w:val="FontStyle13"/>
          <w:sz w:val="24"/>
          <w:szCs w:val="24"/>
        </w:rPr>
        <w:t xml:space="preserve">Всеволожского муниципального района </w:t>
      </w:r>
      <w:r w:rsidR="00906109">
        <w:rPr>
          <w:rStyle w:val="FontStyle13"/>
          <w:sz w:val="24"/>
          <w:szCs w:val="24"/>
        </w:rPr>
        <w:t xml:space="preserve">Ленинградской области </w:t>
      </w:r>
      <w:r w:rsidRPr="00EF3F43">
        <w:rPr>
          <w:rStyle w:val="FontStyle13"/>
          <w:sz w:val="24"/>
          <w:szCs w:val="24"/>
        </w:rPr>
        <w:t>муниципальному образованию «Всеволожский муниципальный район» Ленинградской</w:t>
      </w:r>
      <w:r w:rsidR="009B2E92">
        <w:rPr>
          <w:rStyle w:val="FontStyle13"/>
          <w:sz w:val="24"/>
          <w:szCs w:val="24"/>
        </w:rPr>
        <w:t xml:space="preserve"> области согласно приложению </w:t>
      </w:r>
      <w:r w:rsidR="00906109">
        <w:rPr>
          <w:rStyle w:val="FontStyle13"/>
          <w:sz w:val="24"/>
          <w:szCs w:val="24"/>
        </w:rPr>
        <w:t xml:space="preserve">№ 1 </w:t>
      </w:r>
      <w:r w:rsidR="00FA7F89">
        <w:rPr>
          <w:rStyle w:val="FontStyle13"/>
          <w:sz w:val="24"/>
          <w:szCs w:val="24"/>
        </w:rPr>
        <w:t>к настоящему решению</w:t>
      </w:r>
      <w:r w:rsidRPr="00EF3F43">
        <w:rPr>
          <w:rStyle w:val="FontStyle13"/>
          <w:sz w:val="24"/>
          <w:szCs w:val="24"/>
        </w:rPr>
        <w:t>.</w:t>
      </w:r>
    </w:p>
    <w:p w:rsidR="00FA7F89" w:rsidRDefault="002178E9" w:rsidP="00A06C32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EF3F43">
        <w:rPr>
          <w:rStyle w:val="FontStyle13"/>
          <w:sz w:val="24"/>
          <w:szCs w:val="24"/>
        </w:rPr>
        <w:t xml:space="preserve">2. </w:t>
      </w:r>
      <w:r w:rsidR="00FA7F89">
        <w:rPr>
          <w:rStyle w:val="FontStyle13"/>
          <w:sz w:val="24"/>
          <w:szCs w:val="24"/>
        </w:rPr>
        <w:t xml:space="preserve">Администрации </w:t>
      </w:r>
      <w:r w:rsidR="00FA7F89" w:rsidRPr="00EF3F43">
        <w:rPr>
          <w:rStyle w:val="FontStyle13"/>
          <w:sz w:val="24"/>
          <w:szCs w:val="24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906109">
        <w:rPr>
          <w:rStyle w:val="FontStyle13"/>
          <w:sz w:val="24"/>
          <w:szCs w:val="24"/>
        </w:rPr>
        <w:t>предусмотреть</w:t>
      </w:r>
      <w:r w:rsidRPr="00EF3F43">
        <w:rPr>
          <w:rStyle w:val="FontStyle13"/>
          <w:sz w:val="24"/>
          <w:szCs w:val="24"/>
        </w:rPr>
        <w:t xml:space="preserve"> в бюджете </w:t>
      </w:r>
      <w:r w:rsidR="00FA7F89" w:rsidRPr="00EF3F43">
        <w:rPr>
          <w:rStyle w:val="FontStyle13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F3F43">
        <w:rPr>
          <w:rStyle w:val="FontStyle13"/>
          <w:sz w:val="24"/>
          <w:szCs w:val="24"/>
        </w:rPr>
        <w:t xml:space="preserve"> на 2015 год </w:t>
      </w:r>
      <w:r w:rsidR="00FA7F89">
        <w:rPr>
          <w:rStyle w:val="FontStyle13"/>
          <w:sz w:val="24"/>
          <w:szCs w:val="24"/>
        </w:rPr>
        <w:t>ассигнования на реализацию принятого решения</w:t>
      </w:r>
      <w:r w:rsidRPr="00EF3F43">
        <w:rPr>
          <w:rStyle w:val="FontStyle13"/>
          <w:sz w:val="24"/>
          <w:szCs w:val="24"/>
        </w:rPr>
        <w:t>.</w:t>
      </w:r>
    </w:p>
    <w:p w:rsidR="00FA7F89" w:rsidRDefault="002178E9" w:rsidP="00A06C32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EF3F43">
        <w:rPr>
          <w:rStyle w:val="FontStyle13"/>
          <w:sz w:val="24"/>
          <w:szCs w:val="24"/>
        </w:rPr>
        <w:t xml:space="preserve">3. </w:t>
      </w:r>
      <w:proofErr w:type="gramStart"/>
      <w:r w:rsidR="00FB2DB9">
        <w:rPr>
          <w:rStyle w:val="FontStyle13"/>
          <w:sz w:val="24"/>
          <w:szCs w:val="24"/>
        </w:rPr>
        <w:t>А</w:t>
      </w:r>
      <w:r w:rsidRPr="00EF3F43">
        <w:rPr>
          <w:rStyle w:val="FontStyle13"/>
          <w:sz w:val="24"/>
          <w:szCs w:val="24"/>
        </w:rPr>
        <w:t xml:space="preserve">дминистрации </w:t>
      </w:r>
      <w:r w:rsidR="00FA7F89" w:rsidRPr="00EF3F43">
        <w:rPr>
          <w:rStyle w:val="FontStyle13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F3F43">
        <w:rPr>
          <w:rStyle w:val="FontStyle13"/>
          <w:sz w:val="24"/>
          <w:szCs w:val="24"/>
        </w:rPr>
        <w:t xml:space="preserve"> </w:t>
      </w:r>
      <w:r w:rsidR="00812E40">
        <w:rPr>
          <w:rStyle w:val="FontStyle13"/>
          <w:sz w:val="24"/>
          <w:szCs w:val="24"/>
        </w:rPr>
        <w:t xml:space="preserve">в срок до </w:t>
      </w:r>
      <w:r w:rsidR="00573D35">
        <w:rPr>
          <w:rStyle w:val="FontStyle13"/>
          <w:sz w:val="24"/>
          <w:szCs w:val="24"/>
        </w:rPr>
        <w:t xml:space="preserve">01 апреля </w:t>
      </w:r>
      <w:r w:rsidRPr="00EF3F43">
        <w:rPr>
          <w:rStyle w:val="FontStyle13"/>
          <w:sz w:val="24"/>
          <w:szCs w:val="24"/>
        </w:rPr>
        <w:t xml:space="preserve">2015 года заключить </w:t>
      </w:r>
      <w:r w:rsidR="00A06C32" w:rsidRPr="00EF3F43">
        <w:rPr>
          <w:rStyle w:val="FontStyle13"/>
          <w:sz w:val="24"/>
          <w:szCs w:val="24"/>
        </w:rPr>
        <w:t xml:space="preserve">с администрацией </w:t>
      </w:r>
      <w:r w:rsidR="00A06C32">
        <w:rPr>
          <w:rStyle w:val="FontStyle13"/>
          <w:sz w:val="24"/>
          <w:szCs w:val="24"/>
        </w:rPr>
        <w:t>муниципального образования</w:t>
      </w:r>
      <w:r w:rsidR="00A06C32" w:rsidRPr="00EF3F43">
        <w:rPr>
          <w:rStyle w:val="FontStyle13"/>
          <w:sz w:val="24"/>
          <w:szCs w:val="24"/>
        </w:rPr>
        <w:t xml:space="preserve"> «Всеволожский муниципальн</w:t>
      </w:r>
      <w:r w:rsidR="00A06C32">
        <w:rPr>
          <w:rStyle w:val="FontStyle13"/>
          <w:sz w:val="24"/>
          <w:szCs w:val="24"/>
        </w:rPr>
        <w:t>ый район» Ленинградской области</w:t>
      </w:r>
      <w:r w:rsidR="00A06C32" w:rsidRPr="00EF3F43">
        <w:rPr>
          <w:rStyle w:val="FontStyle13"/>
          <w:sz w:val="24"/>
          <w:szCs w:val="24"/>
        </w:rPr>
        <w:t xml:space="preserve"> </w:t>
      </w:r>
      <w:r w:rsidRPr="00EF3F43">
        <w:rPr>
          <w:rStyle w:val="FontStyle13"/>
          <w:sz w:val="24"/>
          <w:szCs w:val="24"/>
        </w:rPr>
        <w:t>соглашение</w:t>
      </w:r>
      <w:r w:rsidR="00A06C32">
        <w:rPr>
          <w:rStyle w:val="FontStyle13"/>
          <w:sz w:val="24"/>
          <w:szCs w:val="24"/>
        </w:rPr>
        <w:t xml:space="preserve"> о передаче части полномочий в области </w:t>
      </w:r>
      <w:r w:rsidR="00A06C32" w:rsidRPr="00EF3F43">
        <w:rPr>
          <w:rStyle w:val="FontStyle13"/>
          <w:sz w:val="24"/>
          <w:szCs w:val="24"/>
        </w:rPr>
        <w:t>архитектуры и градостроительства</w:t>
      </w:r>
      <w:r w:rsidR="009B2E92">
        <w:rPr>
          <w:rStyle w:val="FontStyle13"/>
          <w:sz w:val="24"/>
          <w:szCs w:val="24"/>
        </w:rPr>
        <w:t xml:space="preserve">, указанных в приложении </w:t>
      </w:r>
      <w:r w:rsidR="00FB2DB9">
        <w:rPr>
          <w:rStyle w:val="FontStyle13"/>
          <w:sz w:val="24"/>
          <w:szCs w:val="24"/>
        </w:rPr>
        <w:t xml:space="preserve">№ 1 </w:t>
      </w:r>
      <w:r w:rsidR="009B2E92">
        <w:rPr>
          <w:rStyle w:val="FontStyle13"/>
          <w:sz w:val="24"/>
          <w:szCs w:val="24"/>
        </w:rPr>
        <w:t>к настоящему решению</w:t>
      </w:r>
      <w:r w:rsidR="00906109">
        <w:rPr>
          <w:rStyle w:val="FontStyle13"/>
          <w:sz w:val="24"/>
          <w:szCs w:val="24"/>
        </w:rPr>
        <w:t>,</w:t>
      </w:r>
      <w:r w:rsidR="00FB2DB9">
        <w:rPr>
          <w:rStyle w:val="FontStyle13"/>
          <w:sz w:val="24"/>
          <w:szCs w:val="24"/>
        </w:rPr>
        <w:t xml:space="preserve"> согласно приложению № 2 к настоящему решению</w:t>
      </w:r>
      <w:r w:rsidR="00A06C32">
        <w:rPr>
          <w:rStyle w:val="FontStyle13"/>
          <w:sz w:val="24"/>
          <w:szCs w:val="24"/>
        </w:rPr>
        <w:t>.</w:t>
      </w:r>
      <w:proofErr w:type="gramEnd"/>
    </w:p>
    <w:p w:rsidR="00A06C32" w:rsidRPr="00A06C32" w:rsidRDefault="00A06C32" w:rsidP="00A06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06C32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вступает в силу со дня его официального опубликования.</w:t>
      </w:r>
    </w:p>
    <w:p w:rsidR="00A06C32" w:rsidRPr="00BD0B2C" w:rsidRDefault="00A06C32" w:rsidP="00A0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6C32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телекоммуницикационной сети «Интернет» по </w:t>
      </w:r>
      <w:r w:rsidRPr="00AD01D9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6" w:history="1">
        <w:r w:rsidRPr="00AD01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AD01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D01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sverdlovo</w:t>
        </w:r>
        <w:r w:rsidRPr="00AD01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AD01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Pr="00AD01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D01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D01D9">
        <w:rPr>
          <w:rFonts w:ascii="Times New Roman" w:hAnsi="Times New Roman" w:cs="Times New Roman"/>
          <w:sz w:val="24"/>
          <w:szCs w:val="24"/>
        </w:rPr>
        <w:t>.</w:t>
      </w:r>
    </w:p>
    <w:p w:rsidR="00A06C32" w:rsidRPr="00A06C32" w:rsidRDefault="00A06C32" w:rsidP="00A06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Настоящее решение распространяется на правоотношения, возникшие с 01 января 2015 года.</w:t>
      </w:r>
    </w:p>
    <w:p w:rsidR="002178E9" w:rsidRDefault="00A06C32" w:rsidP="00A06C32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7</w:t>
      </w:r>
      <w:r w:rsidR="002178E9" w:rsidRPr="00EF3F43">
        <w:rPr>
          <w:rStyle w:val="FontStyle13"/>
          <w:sz w:val="24"/>
          <w:szCs w:val="24"/>
        </w:rPr>
        <w:t xml:space="preserve">. </w:t>
      </w:r>
      <w:proofErr w:type="gramStart"/>
      <w:r w:rsidR="002178E9" w:rsidRPr="00EF3F43">
        <w:rPr>
          <w:rStyle w:val="FontStyle13"/>
          <w:sz w:val="24"/>
          <w:szCs w:val="24"/>
        </w:rPr>
        <w:t>Контроль за</w:t>
      </w:r>
      <w:proofErr w:type="gramEnd"/>
      <w:r w:rsidR="002178E9" w:rsidRPr="00EF3F43">
        <w:rPr>
          <w:rStyle w:val="FontStyle13"/>
          <w:sz w:val="24"/>
          <w:szCs w:val="24"/>
        </w:rPr>
        <w:t xml:space="preserve"> исполнением </w:t>
      </w:r>
      <w:r>
        <w:rPr>
          <w:rStyle w:val="FontStyle13"/>
          <w:sz w:val="24"/>
          <w:szCs w:val="24"/>
        </w:rPr>
        <w:t xml:space="preserve">настоящего </w:t>
      </w:r>
      <w:r w:rsidR="002178E9" w:rsidRPr="00EF3F43">
        <w:rPr>
          <w:rStyle w:val="FontStyle13"/>
          <w:sz w:val="24"/>
          <w:szCs w:val="24"/>
        </w:rPr>
        <w:t xml:space="preserve">решения возложить на постоянную комиссию </w:t>
      </w:r>
      <w:r w:rsidR="00FA7F89">
        <w:rPr>
          <w:rStyle w:val="FontStyle13"/>
          <w:sz w:val="24"/>
          <w:szCs w:val="24"/>
        </w:rPr>
        <w:t xml:space="preserve">совета депутатов </w:t>
      </w:r>
      <w:r w:rsidR="002178E9" w:rsidRPr="00EF3F43">
        <w:rPr>
          <w:rStyle w:val="FontStyle13"/>
          <w:sz w:val="24"/>
          <w:szCs w:val="24"/>
        </w:rPr>
        <w:t xml:space="preserve">по </w:t>
      </w:r>
      <w:r w:rsidR="00FA7F89">
        <w:rPr>
          <w:rStyle w:val="FontStyle13"/>
          <w:sz w:val="24"/>
          <w:szCs w:val="24"/>
        </w:rPr>
        <w:t>использованию земель, собственности, архитектуре, строительству и экологической безопасности</w:t>
      </w:r>
      <w:r w:rsidR="002178E9" w:rsidRPr="00EF3F43">
        <w:rPr>
          <w:rStyle w:val="FontStyle13"/>
          <w:sz w:val="24"/>
          <w:szCs w:val="24"/>
        </w:rPr>
        <w:t>.</w:t>
      </w:r>
    </w:p>
    <w:p w:rsidR="00146DB0" w:rsidRDefault="00146DB0" w:rsidP="00EF3F43">
      <w:pPr>
        <w:pStyle w:val="Style5"/>
        <w:widowControl/>
        <w:ind w:firstLine="696"/>
        <w:rPr>
          <w:b/>
          <w:snapToGrid w:val="0"/>
        </w:rPr>
      </w:pPr>
    </w:p>
    <w:p w:rsidR="00EF3F43" w:rsidRDefault="00EF3F43" w:rsidP="00146DB0">
      <w:pPr>
        <w:pStyle w:val="Style5"/>
        <w:widowControl/>
        <w:ind w:firstLine="0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</w:t>
      </w:r>
      <w:r w:rsidR="00146DB0">
        <w:rPr>
          <w:b/>
          <w:snapToGrid w:val="0"/>
        </w:rPr>
        <w:t xml:space="preserve">   </w:t>
      </w:r>
      <w:r>
        <w:rPr>
          <w:b/>
          <w:snapToGrid w:val="0"/>
        </w:rPr>
        <w:t xml:space="preserve"> </w:t>
      </w:r>
      <w:r w:rsidR="00146DB0">
        <w:rPr>
          <w:b/>
          <w:snapToGrid w:val="0"/>
        </w:rPr>
        <w:t xml:space="preserve">                          </w:t>
      </w:r>
      <w:r>
        <w:rPr>
          <w:b/>
          <w:snapToGrid w:val="0"/>
        </w:rPr>
        <w:t xml:space="preserve"> </w:t>
      </w:r>
      <w:r w:rsidRPr="00960346">
        <w:rPr>
          <w:b/>
          <w:snapToGrid w:val="0"/>
        </w:rPr>
        <w:t xml:space="preserve"> </w:t>
      </w:r>
      <w:r>
        <w:rPr>
          <w:b/>
          <w:snapToGrid w:val="0"/>
        </w:rPr>
        <w:t xml:space="preserve">            </w:t>
      </w:r>
      <w:r w:rsidRPr="00960346">
        <w:rPr>
          <w:b/>
          <w:snapToGrid w:val="0"/>
        </w:rPr>
        <w:t xml:space="preserve">В.А.Тыртов  </w:t>
      </w:r>
    </w:p>
    <w:p w:rsidR="00FA7F89" w:rsidRPr="00EF3F43" w:rsidRDefault="00FA7F89" w:rsidP="00EF3F43">
      <w:pPr>
        <w:pStyle w:val="Style5"/>
        <w:widowControl/>
        <w:ind w:firstLine="696"/>
      </w:pPr>
    </w:p>
    <w:p w:rsidR="00EF3F43" w:rsidRDefault="00EF3F43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2178E9">
      <w:pPr>
        <w:autoSpaceDE w:val="0"/>
        <w:autoSpaceDN w:val="0"/>
        <w:adjustRightInd w:val="0"/>
        <w:spacing w:before="67" w:after="0" w:line="317" w:lineRule="exact"/>
        <w:ind w:left="570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06C32" w:rsidRDefault="00A06C32" w:rsidP="00EF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3F43" w:rsidRPr="00A06C32" w:rsidRDefault="002178E9" w:rsidP="00A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B2D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F3F43" w:rsidRPr="00A06C32" w:rsidRDefault="002178E9" w:rsidP="00A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 совета депутатов</w:t>
      </w:r>
      <w:r w:rsidR="00EF3F43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</w:t>
      </w:r>
    </w:p>
    <w:p w:rsidR="00EF3F43" w:rsidRDefault="00EF3F43" w:rsidP="00A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«Свердловское городское поселение»</w:t>
      </w:r>
    </w:p>
    <w:p w:rsidR="002D7F65" w:rsidRPr="00A06C32" w:rsidRDefault="002D7F65" w:rsidP="00A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8E9" w:rsidRPr="00A06C32" w:rsidRDefault="002D7F65" w:rsidP="00A0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«</w:t>
      </w:r>
      <w:r w:rsidR="00C40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24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40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571036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</w:t>
      </w:r>
      <w:r w:rsidR="00C40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C40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</w:p>
    <w:p w:rsidR="002178E9" w:rsidRPr="00A06C32" w:rsidRDefault="002178E9" w:rsidP="00A0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8E9" w:rsidRPr="00A06C32" w:rsidRDefault="00A06C32" w:rsidP="00A0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="002178E9" w:rsidRPr="00A06C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полномочий в области архитектуры и градостроительства,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передаваемых в администрацию муниципального образования</w:t>
      </w:r>
      <w:r w:rsidR="002178E9" w:rsidRPr="00A06C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«Всеволожский муниципальный район» Ленинградской области</w:t>
      </w:r>
    </w:p>
    <w:p w:rsidR="00A06C32" w:rsidRPr="00A06C32" w:rsidRDefault="00571036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Сопровождение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территориального планирования -</w:t>
      </w:r>
      <w:r w:rsidR="00A06C32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генерального плана поселения.</w:t>
      </w:r>
    </w:p>
    <w:p w:rsidR="00A06C32" w:rsidRDefault="00571036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местных нормативов градостроительного планирования поселения.</w:t>
      </w:r>
    </w:p>
    <w:p w:rsidR="00A06C32" w:rsidRDefault="00571036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Сопровождение подготовки 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 землепользования и застройки поселения.</w:t>
      </w:r>
    </w:p>
    <w:p w:rsidR="00A06C32" w:rsidRDefault="00571036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Сопровождение </w:t>
      </w:r>
      <w:r w:rsidR="002178E9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подготовки документации по планировке территории.</w:t>
      </w:r>
    </w:p>
    <w:p w:rsidR="00A06C32" w:rsidRDefault="002178E9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предложений по резервированию территорий в целях реализации документов территориального планирования поселения.</w:t>
      </w:r>
    </w:p>
    <w:p w:rsidR="00A06C32" w:rsidRDefault="002178E9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мониторинга реализации градостроительной и проектной документации.</w:t>
      </w:r>
    </w:p>
    <w:p w:rsidR="00A06C32" w:rsidRDefault="002178E9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заключений для согласования в установленном порядке проектов документов территориального планирования Р</w:t>
      </w:r>
      <w:r w:rsidR="00A06C32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оссийской Федерации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Ленинградской области и других субъектов Р</w:t>
      </w:r>
      <w:r w:rsidR="00A06C32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оссийской Федерации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проектов документации по планировке территории, разработанных по решению органов государственной власти </w:t>
      </w:r>
      <w:r w:rsidR="00A06C32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субъектов </w:t>
      </w:r>
      <w:r w:rsidR="00A06C32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Градостроительным кодексом </w:t>
      </w:r>
      <w:r w:rsidR="00A06C32"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проектов документов территориального планирования муниципальных ра</w:t>
      </w:r>
      <w:r w:rsid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йонов и поселений, граничащих с</w:t>
      </w: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Всеволожским районом, если затрагиваются интересы Всеволожского района</w:t>
      </w:r>
      <w:proofErr w:type="gramEnd"/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входящих в него поселений.</w:t>
      </w:r>
    </w:p>
    <w:p w:rsidR="00812E40" w:rsidRDefault="002178E9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и выдача градостроительных планов земельных участков для проектирования объектов капитального строительства.</w:t>
      </w:r>
    </w:p>
    <w:p w:rsidR="00812E40" w:rsidRDefault="002178E9" w:rsidP="00812E4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и подготовка заключений по проектной документации объектов, на которые не требуется прохождения экспертизы на соответствие техническим регламентам.</w:t>
      </w:r>
    </w:p>
    <w:p w:rsidR="00812E40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и выдача разрешений на строительство, реконструкцию, капитальный ремонт объектов капитального строительства муниципального уровня ведения.</w:t>
      </w:r>
    </w:p>
    <w:p w:rsidR="00812E40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и выдача разрешений на ввод в эксплуатацию объектов капитального строительства муниципального уровня ведения.</w:t>
      </w:r>
    </w:p>
    <w:p w:rsidR="009B2E92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работе комиссий по расследованию причин аварий на строящихся   и   законченных   строительством   объектах   капитального строительства в соответствии с установленным порядком.</w:t>
      </w:r>
    </w:p>
    <w:p w:rsidR="00812E40" w:rsidRPr="009B2E92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2E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актов выноса в натуру осей зданий, сооружений, дорог в соответствии с разработанными и утвержденными проектами.</w:t>
      </w:r>
    </w:p>
    <w:p w:rsidR="00812E40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и согласование предпроектной и проектной документации.</w:t>
      </w:r>
    </w:p>
    <w:p w:rsidR="00812E40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и подготовка решений на перепланировку жилых (нежилых) помещений.</w:t>
      </w:r>
    </w:p>
    <w:p w:rsidR="00812E40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и подготовка решения о переводе жилых помещений в нежилые помещения и нежилых помещений в жилые помещения.</w:t>
      </w:r>
    </w:p>
    <w:p w:rsidR="002178E9" w:rsidRPr="00812E40" w:rsidRDefault="002178E9" w:rsidP="009B2E9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E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и выдача заключений о возможности раздела земельного участка и (или) домовладения.</w:t>
      </w:r>
    </w:p>
    <w:p w:rsidR="002178E9" w:rsidRPr="00A06C32" w:rsidRDefault="002178E9" w:rsidP="00A06C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8E9" w:rsidRPr="00812E40" w:rsidRDefault="00812E40" w:rsidP="00812E40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ab/>
      </w:r>
      <w:r w:rsidR="002178E9" w:rsidRPr="00812E40">
        <w:rPr>
          <w:rStyle w:val="FontStyle11"/>
          <w:sz w:val="24"/>
          <w:szCs w:val="24"/>
        </w:rPr>
        <w:t>Перечень полномочий в области архитектуры и градостроительства, исполняемый поселениями МО «Всеволожский муниципальный район» Ленинградской области</w:t>
      </w:r>
    </w:p>
    <w:p w:rsidR="002178E9" w:rsidRPr="00A06C32" w:rsidRDefault="002178E9" w:rsidP="009B2E92">
      <w:pPr>
        <w:pStyle w:val="Style2"/>
        <w:widowControl/>
        <w:numPr>
          <w:ilvl w:val="0"/>
          <w:numId w:val="2"/>
        </w:numPr>
        <w:tabs>
          <w:tab w:val="left" w:pos="993"/>
        </w:tabs>
        <w:ind w:firstLine="709"/>
        <w:jc w:val="both"/>
        <w:rPr>
          <w:rStyle w:val="FontStyle12"/>
          <w:b w:val="0"/>
          <w:sz w:val="24"/>
          <w:szCs w:val="24"/>
        </w:rPr>
      </w:pPr>
      <w:r w:rsidRPr="00A06C32">
        <w:rPr>
          <w:rStyle w:val="FontStyle12"/>
          <w:b w:val="0"/>
          <w:sz w:val="24"/>
          <w:szCs w:val="24"/>
        </w:rPr>
        <w:t>Обеспечение подготовки и утверждение документов территориального планирования поселения.</w:t>
      </w:r>
    </w:p>
    <w:p w:rsidR="002178E9" w:rsidRPr="00A06C32" w:rsidRDefault="002178E9" w:rsidP="00812E40">
      <w:pPr>
        <w:pStyle w:val="Style2"/>
        <w:widowControl/>
        <w:numPr>
          <w:ilvl w:val="0"/>
          <w:numId w:val="2"/>
        </w:numPr>
        <w:tabs>
          <w:tab w:val="left" w:pos="993"/>
        </w:tabs>
        <w:ind w:firstLine="709"/>
        <w:jc w:val="both"/>
        <w:rPr>
          <w:rStyle w:val="FontStyle12"/>
          <w:b w:val="0"/>
          <w:sz w:val="24"/>
          <w:szCs w:val="24"/>
        </w:rPr>
      </w:pPr>
      <w:r w:rsidRPr="00A06C32">
        <w:rPr>
          <w:rStyle w:val="FontStyle12"/>
          <w:b w:val="0"/>
          <w:sz w:val="24"/>
          <w:szCs w:val="24"/>
        </w:rPr>
        <w:t>Обеспечение подготовки и утверждение местных нормативов градостроительного проектирования.</w:t>
      </w:r>
    </w:p>
    <w:p w:rsidR="002178E9" w:rsidRPr="00A06C32" w:rsidRDefault="002178E9" w:rsidP="00812E40">
      <w:pPr>
        <w:pStyle w:val="Style2"/>
        <w:widowControl/>
        <w:numPr>
          <w:ilvl w:val="0"/>
          <w:numId w:val="2"/>
        </w:numPr>
        <w:tabs>
          <w:tab w:val="left" w:pos="993"/>
        </w:tabs>
        <w:ind w:firstLine="709"/>
        <w:jc w:val="both"/>
        <w:rPr>
          <w:rStyle w:val="FontStyle12"/>
          <w:b w:val="0"/>
          <w:sz w:val="24"/>
          <w:szCs w:val="24"/>
        </w:rPr>
      </w:pPr>
      <w:r w:rsidRPr="00A06C32">
        <w:rPr>
          <w:rStyle w:val="FontStyle12"/>
          <w:b w:val="0"/>
          <w:sz w:val="24"/>
          <w:szCs w:val="24"/>
        </w:rPr>
        <w:t>Обеспечение подготовки и утверждение правил землепользования и застройки поселения.</w:t>
      </w:r>
    </w:p>
    <w:p w:rsidR="009B2E92" w:rsidRDefault="002178E9" w:rsidP="009B2E92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A06C32">
        <w:rPr>
          <w:rStyle w:val="FontStyle12"/>
          <w:b w:val="0"/>
          <w:sz w:val="24"/>
          <w:szCs w:val="24"/>
        </w:rPr>
        <w:t>Обеспечение подготовки и утверждение подготовленной на основании документов территориального планирования поселения документации по планировке территории, за   исключением   случаев,   предусмотренных Градостроительным кодексом Р</w:t>
      </w:r>
      <w:r w:rsidR="00812E40">
        <w:rPr>
          <w:rStyle w:val="FontStyle12"/>
          <w:b w:val="0"/>
          <w:sz w:val="24"/>
          <w:szCs w:val="24"/>
        </w:rPr>
        <w:t xml:space="preserve">оссийской </w:t>
      </w:r>
      <w:r w:rsidRPr="00A06C32">
        <w:rPr>
          <w:rStyle w:val="FontStyle12"/>
          <w:b w:val="0"/>
          <w:sz w:val="24"/>
          <w:szCs w:val="24"/>
        </w:rPr>
        <w:t>Ф</w:t>
      </w:r>
      <w:r w:rsidR="00812E40">
        <w:rPr>
          <w:rStyle w:val="FontStyle12"/>
          <w:b w:val="0"/>
          <w:sz w:val="24"/>
          <w:szCs w:val="24"/>
        </w:rPr>
        <w:t>едерации</w:t>
      </w:r>
      <w:r w:rsidRPr="00A06C32">
        <w:rPr>
          <w:rStyle w:val="FontStyle12"/>
          <w:b w:val="0"/>
          <w:sz w:val="24"/>
          <w:szCs w:val="24"/>
        </w:rPr>
        <w:t>.</w:t>
      </w:r>
    </w:p>
    <w:p w:rsidR="00BB69BD" w:rsidRDefault="002178E9" w:rsidP="00BB69BD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9B2E92">
        <w:rPr>
          <w:rStyle w:val="FontStyle12"/>
          <w:b w:val="0"/>
          <w:sz w:val="24"/>
          <w:szCs w:val="24"/>
        </w:rPr>
        <w:t>Принятие решений о развитии застроенных территорий.</w:t>
      </w: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146DB0" w:rsidRDefault="00146DB0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</w:pPr>
    </w:p>
    <w:p w:rsidR="00BB69BD" w:rsidRPr="00BB69BD" w:rsidRDefault="00BB69BD" w:rsidP="00BB69BD">
      <w:pPr>
        <w:pStyle w:val="Style3"/>
        <w:widowControl/>
        <w:tabs>
          <w:tab w:val="left" w:pos="993"/>
        </w:tabs>
        <w:spacing w:line="240" w:lineRule="auto"/>
        <w:ind w:left="709"/>
        <w:jc w:val="right"/>
        <w:rPr>
          <w:bCs/>
        </w:rPr>
      </w:pPr>
      <w:r w:rsidRPr="00BB69BD">
        <w:lastRenderedPageBreak/>
        <w:t xml:space="preserve">Приложение № </w:t>
      </w:r>
      <w:r>
        <w:t>2</w:t>
      </w:r>
      <w:r w:rsidRPr="00BB69BD">
        <w:t xml:space="preserve"> </w:t>
      </w:r>
    </w:p>
    <w:p w:rsidR="00BB69BD" w:rsidRPr="00BB69BD" w:rsidRDefault="00BB69BD" w:rsidP="00BB69B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 совета депутатов МО</w:t>
      </w:r>
    </w:p>
    <w:p w:rsidR="00BB69BD" w:rsidRDefault="00BB69BD" w:rsidP="00BB69B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«Свердловское городское поселение»</w:t>
      </w:r>
    </w:p>
    <w:p w:rsidR="002D7F65" w:rsidRPr="00BB69BD" w:rsidRDefault="002D7F65" w:rsidP="00BB69B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69BD" w:rsidRPr="00BB69BD" w:rsidRDefault="002D7F65" w:rsidP="00BB69B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«</w:t>
      </w:r>
      <w:r w:rsidR="00C40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24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40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марта  2015 года  № 09</w:t>
      </w:r>
    </w:p>
    <w:p w:rsidR="00D504A3" w:rsidRDefault="00D504A3" w:rsidP="00BB69BD">
      <w:pPr>
        <w:pStyle w:val="Style3"/>
        <w:widowControl/>
        <w:tabs>
          <w:tab w:val="left" w:pos="993"/>
        </w:tabs>
        <w:spacing w:line="240" w:lineRule="auto"/>
        <w:ind w:left="709"/>
        <w:jc w:val="both"/>
        <w:rPr>
          <w:bCs/>
        </w:rPr>
      </w:pPr>
    </w:p>
    <w:p w:rsidR="004306AA" w:rsidRDefault="004306AA" w:rsidP="00BB69BD">
      <w:pPr>
        <w:pStyle w:val="Style3"/>
        <w:widowControl/>
        <w:tabs>
          <w:tab w:val="left" w:pos="993"/>
        </w:tabs>
        <w:spacing w:line="240" w:lineRule="auto"/>
        <w:ind w:left="709"/>
        <w:jc w:val="both"/>
        <w:rPr>
          <w:bCs/>
        </w:rPr>
      </w:pPr>
    </w:p>
    <w:p w:rsidR="00D504A3" w:rsidRPr="003651A0" w:rsidRDefault="00D504A3" w:rsidP="00D5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lang w:eastAsia="ru-RU"/>
        </w:rPr>
        <w:tab/>
      </w: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D504A3" w:rsidRPr="003651A0" w:rsidRDefault="00D504A3" w:rsidP="00D5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осуществления полномочий</w:t>
      </w:r>
      <w:r w:rsidR="006D402B"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архитектуры и градостроительства </w:t>
      </w: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Администрацией муниципального образования «Свердловское городское поселение»</w:t>
      </w:r>
      <w:r w:rsidR="006D402B"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Всеволожского муниципального района Ленинградской области и Администрацией </w:t>
      </w:r>
      <w:r w:rsidR="006D402B"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«Всеволожский муниципальный район» Ленинградской области</w:t>
      </w:r>
    </w:p>
    <w:p w:rsidR="00D504A3" w:rsidRPr="003651A0" w:rsidRDefault="00D504A3" w:rsidP="00D50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№ _________________/_________________</w:t>
      </w:r>
    </w:p>
    <w:p w:rsidR="00D504A3" w:rsidRPr="003651A0" w:rsidRDefault="00D504A3" w:rsidP="00D5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 соглашения)</w:t>
      </w:r>
    </w:p>
    <w:p w:rsidR="00D504A3" w:rsidRPr="003651A0" w:rsidRDefault="00D504A3" w:rsidP="00D5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6D402B" w:rsidP="00D5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                         </w:t>
      </w:r>
      <w:r w:rsidR="0014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</w:t>
      </w:r>
    </w:p>
    <w:p w:rsidR="00D504A3" w:rsidRPr="003651A0" w:rsidRDefault="006D402B" w:rsidP="00D5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составления акта)                                                     </w:t>
      </w:r>
      <w:r w:rsidR="0014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регистрации соглашения)</w:t>
      </w:r>
    </w:p>
    <w:p w:rsidR="00D504A3" w:rsidRPr="003651A0" w:rsidRDefault="00D504A3" w:rsidP="00D5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области, именуемая в дальнейшем «Администрация поселения», в лице главы Администрации </w:t>
      </w:r>
      <w:r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Павловича Александра Павловича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муниципального образования «Свердловское городское поселение» Всеволожского муниципального района Ленинградской области от 19.11.2014 г. № 45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 Администрация муниципального образования «Всеволожский муниципальный район» Ленинградской области, именуемая в дальнейшем «Администрация района</w:t>
      </w:r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Администрации </w:t>
      </w:r>
      <w:r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Драчева Владимира Петровича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 Ленинградской области от 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23.10.2014 г. № 10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вместе именуемые «Стороны», руководствуясь п. 4 статьи 15 и п. 4 статьи 18 Федерального закона от 06.10.2003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муниципального образования «Свердловское городское</w:t>
      </w:r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Всеволожского муниципального района Ленинградской области, Уставом муниципального образования «Всеволожский муниципальный район» Ленинградской области, решением совета депутатов муниципального образования «Свердловское городское поселение»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 </w:t>
      </w:r>
      <w:r w:rsidR="004306AA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«О передаче полномочий в области архитектуры </w:t>
      </w:r>
      <w:r w:rsidR="006D402B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 муниципального образования «Свердловское городское поселение» Всеволожского муниципального района Ленинградской области», заключили настоящее Соглашение о нижеследующем:</w:t>
      </w:r>
      <w:proofErr w:type="gramEnd"/>
    </w:p>
    <w:p w:rsidR="00D504A3" w:rsidRPr="003651A0" w:rsidRDefault="00D504A3" w:rsidP="00D5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ind w:left="3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D504A3" w:rsidRPr="003651A0" w:rsidRDefault="004306AA" w:rsidP="00D5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передает, а Администрация района</w:t>
      </w:r>
      <w:r w:rsidR="00EB0686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к осуществлению часть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решению вопросов местного значения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(далее –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Приложению № 1 к решению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«О передаче полномочий в области архитектуры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 муниципального образования «Свердловское городское</w:t>
      </w:r>
      <w:proofErr w:type="gramEnd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Всеволожского муниципального района Ленинградской области» за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межбюджетных трансфертов, предоставляемых из бюджета поселения в бюджет муниципального района.</w:t>
      </w:r>
    </w:p>
    <w:p w:rsidR="00D504A3" w:rsidRPr="003651A0" w:rsidRDefault="009C3D96" w:rsidP="00D5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Организация исполнения </w:t>
      </w:r>
      <w:r w:rsidR="00843F22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настоящему Соглашению осуществляется в соответствии с действующим законодательством Российской Федерации. </w:t>
      </w:r>
    </w:p>
    <w:p w:rsidR="00D504A3" w:rsidRPr="003651A0" w:rsidRDefault="00D504A3" w:rsidP="00D5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numPr>
          <w:ilvl w:val="0"/>
          <w:numId w:val="1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504A3" w:rsidRPr="003651A0" w:rsidRDefault="009C3D96" w:rsidP="009C3D9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Администрация поселения:</w:t>
      </w:r>
    </w:p>
    <w:p w:rsidR="00D504A3" w:rsidRPr="003651A0" w:rsidRDefault="009C3D96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Перечисляет Администрации района финансовые средства в форме межбюджетных трансфертов, предназначенные для осуществления переданных по настоящему Соглашению </w:t>
      </w:r>
      <w:r w:rsidR="00843F22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в размере и порядке, установленных настоящим Соглашением.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D96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9C3D96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осуществление Администрацией района переданных ей </w:t>
      </w:r>
      <w:r w:rsidR="009C3D96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22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а также целевое использование финансовых средств, предоставленных на эти цели.</w:t>
      </w:r>
    </w:p>
    <w:p w:rsidR="00AE09E0" w:rsidRPr="003651A0" w:rsidRDefault="00AE09E0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F22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Согласовывает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вынесенные (принятые) Администрацией района решения по осуществлению переданных настоящим Соглашением полномочий.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A3" w:rsidRPr="003651A0" w:rsidRDefault="00AE09E0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Администрация поселения имеет право:</w:t>
      </w:r>
    </w:p>
    <w:p w:rsidR="00D504A3" w:rsidRPr="003651A0" w:rsidRDefault="00AE09E0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Администрации района информацию о реализации переданных ей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Соглашением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в виде ежемесячных отчетов, содержащих исчерпывающую информацию.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AE09E0">
      <w:pPr>
        <w:numPr>
          <w:ilvl w:val="1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района:</w:t>
      </w:r>
    </w:p>
    <w:p w:rsidR="00D504A3" w:rsidRPr="003651A0" w:rsidRDefault="00AE09E0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Осуществляет принятую ею от Администрации поселения часть полномочий по решению вопросов местного значения поселения, в соответствии с пунктом 1.1. настоящего Соглашения и действующим законодательством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 поступивших финансовых сре</w:t>
      </w:r>
      <w:proofErr w:type="gramStart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межбюджетных трансфертов.</w:t>
      </w:r>
    </w:p>
    <w:p w:rsidR="00D504A3" w:rsidRPr="003651A0" w:rsidRDefault="00843F22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Формирует штат </w:t>
      </w:r>
      <w:proofErr w:type="gramStart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полномочий исходя из объема переданных ей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Соглашением 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полномочий.</w:t>
      </w:r>
    </w:p>
    <w:p w:rsidR="00D504A3" w:rsidRPr="003651A0" w:rsidRDefault="00843F22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Обеспечивает надлежащее осуществление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ей настоящим Соглашением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в соответствии с действующим законодательством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 их исполнения.</w:t>
      </w:r>
    </w:p>
    <w:p w:rsidR="00D504A3" w:rsidRPr="003651A0" w:rsidRDefault="00843F22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Вправе дополнительно использовать собственные материальные ресурсы и финансовые средства в случаях и порядке, предусмотренных решением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«Всеволожский муниципальный район»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F22" w:rsidRPr="003651A0" w:rsidRDefault="00B5336D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F22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 осуществлении переданных ей настоящим Соглашением части полномочий Администрация района выносит (принимает) решения </w:t>
      </w:r>
      <w:r w:rsidR="00114AE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письменного согласования вынесенного (принятого) решения с Администрацией поселения подписанного главой Администрации поселения.</w:t>
      </w:r>
      <w:r w:rsidR="00843F22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36D" w:rsidRPr="003651A0" w:rsidRDefault="00B5336D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2.3.6. Направляет в Администрацию поселения информацию о реализации переданных ей настоящим Соглашением полномочий в виде ежемесячных отчетов, содержащих исчерпывающую информацию.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114AE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района имеет право:</w:t>
      </w:r>
    </w:p>
    <w:p w:rsidR="00D504A3" w:rsidRDefault="00114AE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Администрации поселения сведения и документы, необходимые для осуществления принятых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Соглашением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полномочий. </w:t>
      </w:r>
    </w:p>
    <w:p w:rsidR="00146DB0" w:rsidRPr="003651A0" w:rsidRDefault="00146DB0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B0" w:rsidRDefault="00146DB0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B0" w:rsidRPr="003651A0" w:rsidRDefault="00146DB0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финансирования расходов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AE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Часть полномочий Администрации поселения осуществляется Администрацией района за счет межбюджетных трансфертов, предоставляемых из бюджета муниципального образования «Свердловское городское поселение» Всеволожского муниципального района Ленинградской области </w:t>
      </w:r>
      <w:r w:rsidR="00114AE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бюджет поселения)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муниципального образования «Всеволожский муниципальный район» Ленинградской области</w:t>
      </w:r>
      <w:r w:rsidR="00114AE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района)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4A3" w:rsidRPr="003651A0" w:rsidRDefault="00114AE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Расчет межбюджетных трансфертов, необходимых для исполнения переданных в соответствии с настоящим Соглашением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необходимых для осуществления передаваемых полномочий и предоставляемых из бюджета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годового норматива финансовых средств, который рассчитывает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срок действия настоящего С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по следующей формуле: </w:t>
      </w:r>
    </w:p>
    <w:p w:rsidR="00D504A3" w:rsidRPr="003651A0" w:rsidRDefault="00D504A3" w:rsidP="00D504A3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((Ф</w:t>
      </w:r>
      <w:r w:rsidRPr="00365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) х Т + К) х 1/2, где:</w:t>
      </w:r>
    </w:p>
    <w:p w:rsidR="00D504A3" w:rsidRPr="003651A0" w:rsidRDefault="00114AE7" w:rsidP="00114A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межбюджетных трансфертов, на осуществление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в соответствии с настоящим Соглашением части полномочий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4A3" w:rsidRPr="003651A0" w:rsidRDefault="00114AE7" w:rsidP="00114A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D504A3" w:rsidRPr="00365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годовой фонд оплаты труда работника в должности главного специалиста, рассчитанный в соответствии с нормативными правовыми актами представительного органа муниципал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«Всеволожский муниципальный район» Ленинградской области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608242,32 руб.</w:t>
      </w:r>
    </w:p>
    <w:p w:rsidR="00D504A3" w:rsidRPr="003651A0" w:rsidRDefault="00114AE7" w:rsidP="00114A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 ½ ставки количество специалистов;</w:t>
      </w:r>
    </w:p>
    <w:p w:rsidR="00D504A3" w:rsidRPr="003651A0" w:rsidRDefault="00D504A3" w:rsidP="00114AE7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текущих расходов (за исключением заработной платы с начислениями), равный 67500</w:t>
      </w:r>
      <w:r w:rsidR="00114AE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504A3" w:rsidRPr="003651A0" w:rsidRDefault="00D504A3" w:rsidP="00114AE7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608242,32 руб. х 1 + 67500</w:t>
      </w:r>
    </w:p>
    <w:p w:rsidR="00114AE7" w:rsidRPr="003651A0" w:rsidRDefault="00114AE7" w:rsidP="00D504A3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114AE7" w:rsidP="00114A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передаваемых на реализацию указанных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Соглашением 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составляет </w:t>
      </w:r>
      <w:r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675742 </w:t>
      </w:r>
      <w:r w:rsidR="00D504A3"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(шестьсот семьдесят пять тысяч </w:t>
      </w:r>
      <w:r w:rsidR="008752FE"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</w:t>
      </w:r>
      <w:r w:rsidR="00D504A3"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ьсот </w:t>
      </w:r>
      <w:r w:rsidR="008752FE"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</w:t>
      </w:r>
      <w:r w:rsidR="00D504A3"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2FE"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рубля 32 копейки</w:t>
      </w:r>
      <w:r w:rsidR="00D504A3" w:rsidRPr="0036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114AE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из бюджета Администрации поселения в бюджет Администрации района осуществляется по следующим реквизитам: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114A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«Всеволожский муниципальный район» ЛО</w:t>
      </w:r>
    </w:p>
    <w:p w:rsidR="00D504A3" w:rsidRPr="003651A0" w:rsidRDefault="00D504A3" w:rsidP="00114A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188640, Ленинградская область, </w:t>
      </w:r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Всеволожск, Колтушское шоссе, д. 138</w:t>
      </w:r>
    </w:p>
    <w:p w:rsidR="00B5336D" w:rsidRPr="003651A0" w:rsidRDefault="00D504A3" w:rsidP="00114A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4703083640; КПП 47031001; л/сч. 04453004440 в УФК по ЛО (Администрация МО «Всеволожский муниципальный район» ЛО); </w:t>
      </w:r>
    </w:p>
    <w:p w:rsidR="00D504A3" w:rsidRPr="003651A0" w:rsidRDefault="00D504A3" w:rsidP="00114A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 40101810200000010022 в ГРКЦ ГУ Банка России по Ленинградской области г. Санкт-Петербургу; БИК 044106001; к/сч. – нет; КБК 00120204014050000151; ОКПО 43511260; ОГРН 1064703000911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B5336D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Перечисление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из бюджета поселения в бюджет района производится ежеквартально </w:t>
      </w:r>
      <w:r w:rsidR="004E504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числа месяца, следующего за истекшим кварталом,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¼ от общей суммы, указанной в п. 3.2 настоящего Соглашения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2BA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</w:t>
      </w:r>
      <w:proofErr w:type="gramStart"/>
      <w:r w:rsidR="00A02BA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504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</w:t>
      </w:r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отчетов, указанных в п. 2.3.6. настоящего Соглашения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04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межбюджетных трансфертов в размере ¼ от общей суммы, указанной в п. 3.2 настоящего Соглашения, за 4 квартал 2015 года производится не позднее 31.12.2015 года.</w:t>
      </w:r>
    </w:p>
    <w:p w:rsidR="00D504A3" w:rsidRPr="003651A0" w:rsidRDefault="00B5336D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района не вправе использовать межбюджетные трансферты из настоящего Соглашения, выделя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Администрацией поселения на осуществления переданных настоящим Соглашением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полномочий, на иные цели.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Основания и порядок прекращения действия Соглашения.</w:t>
      </w:r>
    </w:p>
    <w:p w:rsidR="00D504A3" w:rsidRPr="003651A0" w:rsidRDefault="00B5336D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прекращения действия настоящего Соглашения является: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стечение срока действия настоящего Соглашения;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соглашению Сторон;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суда о расторжении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вследствие нарушения сторонами существенных условий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невыполнения обязательств Администрацией поселения по финансированию переданных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Соглашением 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ненадлежащего исполнения переданных полномо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Администрацией района;</w:t>
      </w:r>
    </w:p>
    <w:p w:rsidR="00A02BA7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в случае не согласования Администрацией района выносимого (принимаемого) ею решения с Администрацией поселения. 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 расторжении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при нарушении его существенных условий может быть заявлено Стороной только после получения отказа другой Стороны на предложение расторгнуть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либо неполучение ответа в срок, указанный в предложении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настоящего Соглашения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его отсутствии – в двадцатидневный срок с даты направления предложения о расторжении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сторон.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осуществление обязательств по настоящему Соглашению в соответствии с действующим законодательством Российской Федерации.</w:t>
      </w:r>
    </w:p>
    <w:p w:rsidR="00D504A3" w:rsidRPr="003651A0" w:rsidRDefault="00A02BA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Ненадлежащее осуществление Администрацией района переданных ей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Соглашением 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D504A3" w:rsidRPr="003651A0" w:rsidRDefault="004E504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Администрация района несет ответственность за осуществление переданных ей полномочий в соответствии с действующим законодательством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пределах своей компетенции, в той мере, в какой эти полномочия обеспечены финансовыми средствами. </w:t>
      </w:r>
    </w:p>
    <w:p w:rsidR="00D504A3" w:rsidRPr="003651A0" w:rsidRDefault="004E504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Ответственность Администрации района наступает в случаях, предусмотренных действующим законодательством Российской Федерации, а также при не целевом использовании выделенных в качестве межбюджетных трансфертов денежных средств соответствии с бюджетным законодательством Р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4A3" w:rsidRPr="003651A0" w:rsidRDefault="004E504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</w:t>
      </w:r>
      <w:r w:rsidR="00AD211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Соглашением части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Администрация района вправе требовать досрочного расторжения </w:t>
      </w:r>
      <w:r w:rsidR="00AD211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суде</w:t>
      </w:r>
      <w:r w:rsidR="00AD211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 порядке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уплаты неустойки за просрочку платежа в размере одной трехсотой действующей </w:t>
      </w:r>
      <w:r w:rsidR="00AD211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рефинансирования </w:t>
      </w:r>
      <w:r w:rsidR="00AD2117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России за каждый день просрочки.</w:t>
      </w:r>
      <w:proofErr w:type="gramEnd"/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соглашения.</w:t>
      </w: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A3" w:rsidRPr="003651A0" w:rsidRDefault="00AD211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Соглашение вступает в силу со дня его подписания Сторонами и распространяет свое действие на </w:t>
      </w:r>
      <w:proofErr w:type="gramStart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01.01.2015 года.</w:t>
      </w:r>
    </w:p>
    <w:p w:rsidR="00D504A3" w:rsidRPr="003651A0" w:rsidRDefault="00AD211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Окончание срока действия настоящего Соглашения 31.12.2015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Заключительные положения.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AD211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Соглашение составлено в двух экземплярах, имеющих одинаковую юридическую силу, по одному 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экземпляру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из Сторон.</w:t>
      </w:r>
    </w:p>
    <w:p w:rsidR="00D504A3" w:rsidRPr="003651A0" w:rsidRDefault="00AD211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504A3" w:rsidRPr="003651A0" w:rsidRDefault="00AD211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 вопросам, не урегулированным настоящим Соглашением, Стороны руководствуются действующим законодательством</w:t>
      </w: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4A3" w:rsidRPr="003651A0" w:rsidRDefault="00AD2117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Споры, связанные с исполнением настоящего Соглашения, разрешаются путем проведения переговоров </w:t>
      </w:r>
      <w:r w:rsidR="00297BC0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Сторон. При </w:t>
      </w:r>
      <w:proofErr w:type="spellStart"/>
      <w:r w:rsidR="00297BC0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297BC0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решаются </w:t>
      </w:r>
      <w:r w:rsidR="00D504A3" w:rsidRPr="00365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порядке.</w:t>
      </w:r>
    </w:p>
    <w:p w:rsidR="00D504A3" w:rsidRPr="003651A0" w:rsidRDefault="00D504A3" w:rsidP="00D504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 и подписи сторон.</w:t>
      </w:r>
    </w:p>
    <w:p w:rsidR="00D504A3" w:rsidRPr="003651A0" w:rsidRDefault="00D504A3" w:rsidP="00D5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5" w:type="dxa"/>
        <w:tblInd w:w="-222" w:type="dxa"/>
        <w:tblLook w:val="0000"/>
      </w:tblPr>
      <w:tblGrid>
        <w:gridCol w:w="5070"/>
        <w:gridCol w:w="4935"/>
      </w:tblGrid>
      <w:tr w:rsidR="00D504A3" w:rsidRPr="003651A0" w:rsidTr="001A239E">
        <w:trPr>
          <w:trHeight w:val="2875"/>
        </w:trPr>
        <w:tc>
          <w:tcPr>
            <w:tcW w:w="5070" w:type="dxa"/>
          </w:tcPr>
          <w:p w:rsidR="00D504A3" w:rsidRPr="003651A0" w:rsidRDefault="00D504A3" w:rsidP="001A239E">
            <w:pPr>
              <w:spacing w:after="0" w:line="240" w:lineRule="auto"/>
              <w:ind w:left="33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 района»</w:t>
            </w:r>
          </w:p>
          <w:p w:rsidR="00D504A3" w:rsidRPr="003651A0" w:rsidRDefault="00D504A3" w:rsidP="00AD2117">
            <w:pPr>
              <w:spacing w:after="0" w:line="240" w:lineRule="auto"/>
              <w:ind w:left="33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188640, Ленинградская область,</w:t>
            </w:r>
          </w:p>
          <w:p w:rsidR="00D504A3" w:rsidRPr="003651A0" w:rsidRDefault="00D504A3" w:rsidP="00AD2117">
            <w:pPr>
              <w:spacing w:after="0" w:line="240" w:lineRule="auto"/>
              <w:ind w:left="33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Всеволожск. Колтушское шоссе,</w:t>
            </w:r>
          </w:p>
          <w:p w:rsidR="00D504A3" w:rsidRPr="003651A0" w:rsidRDefault="00D504A3" w:rsidP="00AD2117">
            <w:pPr>
              <w:spacing w:after="0" w:line="240" w:lineRule="auto"/>
              <w:ind w:left="33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138</w:t>
            </w:r>
          </w:p>
          <w:p w:rsidR="00D504A3" w:rsidRPr="003651A0" w:rsidRDefault="00D504A3" w:rsidP="001A239E">
            <w:pPr>
              <w:spacing w:after="0" w:line="240" w:lineRule="auto"/>
              <w:ind w:left="33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4A3" w:rsidRPr="003651A0" w:rsidRDefault="00D504A3" w:rsidP="001A239E">
            <w:pPr>
              <w:spacing w:after="0" w:line="240" w:lineRule="auto"/>
              <w:ind w:left="33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17" w:rsidRPr="003651A0" w:rsidRDefault="00D504A3" w:rsidP="00AD2117">
            <w:pPr>
              <w:spacing w:after="0" w:line="240" w:lineRule="auto"/>
              <w:ind w:left="33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__________________В.П. </w:t>
            </w:r>
            <w:proofErr w:type="spellStart"/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</w:t>
            </w:r>
            <w:proofErr w:type="spellEnd"/>
          </w:p>
          <w:p w:rsidR="00D504A3" w:rsidRPr="003651A0" w:rsidRDefault="00AD2117" w:rsidP="00AD2117">
            <w:pPr>
              <w:spacing w:after="0" w:line="240" w:lineRule="auto"/>
              <w:ind w:left="33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504A3"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35" w:type="dxa"/>
          </w:tcPr>
          <w:p w:rsidR="00D504A3" w:rsidRPr="003651A0" w:rsidRDefault="00D504A3" w:rsidP="00AD21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 поселения»</w:t>
            </w:r>
          </w:p>
          <w:p w:rsidR="00D504A3" w:rsidRPr="003651A0" w:rsidRDefault="00D504A3" w:rsidP="00AD21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188682, ЛО, Всеволожский район,</w:t>
            </w:r>
          </w:p>
          <w:p w:rsidR="00D504A3" w:rsidRPr="003651A0" w:rsidRDefault="00D504A3" w:rsidP="00AD21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имени Свердлова, мкр.1, дом</w:t>
            </w:r>
            <w:r w:rsidR="00AD2117"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04A3" w:rsidRPr="003651A0" w:rsidRDefault="00D504A3" w:rsidP="001A2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4A3" w:rsidRPr="003651A0" w:rsidRDefault="00D504A3" w:rsidP="001A2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4A3" w:rsidRPr="003651A0" w:rsidRDefault="00D504A3" w:rsidP="001A2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117" w:rsidRPr="003651A0" w:rsidRDefault="00D504A3" w:rsidP="00AD21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_________________А.П. Павлович</w:t>
            </w:r>
          </w:p>
          <w:p w:rsidR="00D504A3" w:rsidRPr="003651A0" w:rsidRDefault="00AD2117" w:rsidP="00AD21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D504A3" w:rsidRPr="003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D504A3" w:rsidRPr="0078266A" w:rsidRDefault="00D504A3" w:rsidP="00D5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78266A" w:rsidRDefault="00D504A3" w:rsidP="00D5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78266A" w:rsidRDefault="00D504A3" w:rsidP="00D5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A3" w:rsidRPr="0078266A" w:rsidRDefault="00D504A3" w:rsidP="00D504A3">
      <w:pPr>
        <w:rPr>
          <w:rFonts w:ascii="Times New Roman" w:hAnsi="Times New Roman" w:cs="Times New Roman"/>
          <w:sz w:val="24"/>
          <w:szCs w:val="24"/>
        </w:rPr>
      </w:pPr>
    </w:p>
    <w:p w:rsidR="00D504A3" w:rsidRPr="0078266A" w:rsidRDefault="00D504A3" w:rsidP="00D504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9BD" w:rsidRPr="00D504A3" w:rsidRDefault="00BB69BD" w:rsidP="00D504A3">
      <w:pPr>
        <w:tabs>
          <w:tab w:val="left" w:pos="993"/>
        </w:tabs>
        <w:rPr>
          <w:lang w:eastAsia="ru-RU"/>
        </w:rPr>
      </w:pPr>
    </w:p>
    <w:sectPr w:rsidR="00BB69BD" w:rsidRPr="00D504A3" w:rsidSect="00146DB0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00E"/>
    <w:multiLevelType w:val="hybridMultilevel"/>
    <w:tmpl w:val="A0D6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CD7"/>
    <w:multiLevelType w:val="hybridMultilevel"/>
    <w:tmpl w:val="0AF6DE7C"/>
    <w:lvl w:ilvl="0" w:tplc="F2F8AACE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31A2595A"/>
    <w:multiLevelType w:val="hybridMultilevel"/>
    <w:tmpl w:val="2BF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5F46"/>
    <w:multiLevelType w:val="hybridMultilevel"/>
    <w:tmpl w:val="B302F828"/>
    <w:lvl w:ilvl="0" w:tplc="8988B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1D34"/>
    <w:multiLevelType w:val="multilevel"/>
    <w:tmpl w:val="FB0A66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43176E7"/>
    <w:multiLevelType w:val="singleLevel"/>
    <w:tmpl w:val="29A038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4DD456B"/>
    <w:multiLevelType w:val="hybridMultilevel"/>
    <w:tmpl w:val="47BC7552"/>
    <w:lvl w:ilvl="0" w:tplc="E938873C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5D13EB5"/>
    <w:multiLevelType w:val="hybridMultilevel"/>
    <w:tmpl w:val="E1AAD048"/>
    <w:lvl w:ilvl="0" w:tplc="9BE40D9E">
      <w:start w:val="1"/>
      <w:numFmt w:val="decimal"/>
      <w:lvlText w:val="%1."/>
      <w:lvlJc w:val="left"/>
      <w:pPr>
        <w:tabs>
          <w:tab w:val="num" w:pos="3795"/>
        </w:tabs>
        <w:ind w:left="3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abstractNum w:abstractNumId="8">
    <w:nsid w:val="70110C53"/>
    <w:multiLevelType w:val="hybridMultilevel"/>
    <w:tmpl w:val="E10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72B57"/>
    <w:multiLevelType w:val="hybridMultilevel"/>
    <w:tmpl w:val="3410C67C"/>
    <w:lvl w:ilvl="0" w:tplc="3BEE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80BD8">
      <w:numFmt w:val="none"/>
      <w:lvlText w:val=""/>
      <w:lvlJc w:val="left"/>
      <w:pPr>
        <w:tabs>
          <w:tab w:val="num" w:pos="360"/>
        </w:tabs>
      </w:pPr>
    </w:lvl>
    <w:lvl w:ilvl="2" w:tplc="BB704902">
      <w:numFmt w:val="none"/>
      <w:lvlText w:val=""/>
      <w:lvlJc w:val="left"/>
      <w:pPr>
        <w:tabs>
          <w:tab w:val="num" w:pos="360"/>
        </w:tabs>
      </w:pPr>
    </w:lvl>
    <w:lvl w:ilvl="3" w:tplc="28F246CA">
      <w:numFmt w:val="none"/>
      <w:lvlText w:val=""/>
      <w:lvlJc w:val="left"/>
      <w:pPr>
        <w:tabs>
          <w:tab w:val="num" w:pos="360"/>
        </w:tabs>
      </w:pPr>
    </w:lvl>
    <w:lvl w:ilvl="4" w:tplc="321A6F2A">
      <w:numFmt w:val="none"/>
      <w:lvlText w:val=""/>
      <w:lvlJc w:val="left"/>
      <w:pPr>
        <w:tabs>
          <w:tab w:val="num" w:pos="360"/>
        </w:tabs>
      </w:pPr>
    </w:lvl>
    <w:lvl w:ilvl="5" w:tplc="0828353A">
      <w:numFmt w:val="none"/>
      <w:lvlText w:val=""/>
      <w:lvlJc w:val="left"/>
      <w:pPr>
        <w:tabs>
          <w:tab w:val="num" w:pos="360"/>
        </w:tabs>
      </w:pPr>
    </w:lvl>
    <w:lvl w:ilvl="6" w:tplc="55180980">
      <w:numFmt w:val="none"/>
      <w:lvlText w:val=""/>
      <w:lvlJc w:val="left"/>
      <w:pPr>
        <w:tabs>
          <w:tab w:val="num" w:pos="360"/>
        </w:tabs>
      </w:pPr>
    </w:lvl>
    <w:lvl w:ilvl="7" w:tplc="E2EE63E2">
      <w:numFmt w:val="none"/>
      <w:lvlText w:val=""/>
      <w:lvlJc w:val="left"/>
      <w:pPr>
        <w:tabs>
          <w:tab w:val="num" w:pos="360"/>
        </w:tabs>
      </w:pPr>
    </w:lvl>
    <w:lvl w:ilvl="8" w:tplc="6C3EF9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E4A30BA"/>
    <w:multiLevelType w:val="singleLevel"/>
    <w:tmpl w:val="F4D05E6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64D"/>
    <w:rsid w:val="0010277C"/>
    <w:rsid w:val="00114757"/>
    <w:rsid w:val="00114AE7"/>
    <w:rsid w:val="001221EF"/>
    <w:rsid w:val="00146DB0"/>
    <w:rsid w:val="00202417"/>
    <w:rsid w:val="002178E9"/>
    <w:rsid w:val="0022493A"/>
    <w:rsid w:val="00257197"/>
    <w:rsid w:val="00297BC0"/>
    <w:rsid w:val="002D7F65"/>
    <w:rsid w:val="00331EE9"/>
    <w:rsid w:val="003651A0"/>
    <w:rsid w:val="0040764D"/>
    <w:rsid w:val="004306AA"/>
    <w:rsid w:val="004652C0"/>
    <w:rsid w:val="004738F6"/>
    <w:rsid w:val="00494A08"/>
    <w:rsid w:val="004E4ADE"/>
    <w:rsid w:val="004E5043"/>
    <w:rsid w:val="004F1492"/>
    <w:rsid w:val="00505B3F"/>
    <w:rsid w:val="00571036"/>
    <w:rsid w:val="00573D35"/>
    <w:rsid w:val="005C099E"/>
    <w:rsid w:val="006D402B"/>
    <w:rsid w:val="00731605"/>
    <w:rsid w:val="007E6625"/>
    <w:rsid w:val="00812E40"/>
    <w:rsid w:val="00843F22"/>
    <w:rsid w:val="008526E3"/>
    <w:rsid w:val="00853C94"/>
    <w:rsid w:val="008752FE"/>
    <w:rsid w:val="008D2852"/>
    <w:rsid w:val="00906109"/>
    <w:rsid w:val="009275C9"/>
    <w:rsid w:val="009A13BA"/>
    <w:rsid w:val="009B2E92"/>
    <w:rsid w:val="009C3D96"/>
    <w:rsid w:val="00A02BA7"/>
    <w:rsid w:val="00A06C32"/>
    <w:rsid w:val="00A35902"/>
    <w:rsid w:val="00AD01D9"/>
    <w:rsid w:val="00AD2117"/>
    <w:rsid w:val="00AE09E0"/>
    <w:rsid w:val="00B5336D"/>
    <w:rsid w:val="00BB69BD"/>
    <w:rsid w:val="00BD0B2C"/>
    <w:rsid w:val="00C40300"/>
    <w:rsid w:val="00C46A42"/>
    <w:rsid w:val="00CA46AF"/>
    <w:rsid w:val="00CB4EE0"/>
    <w:rsid w:val="00CB76DB"/>
    <w:rsid w:val="00CC6599"/>
    <w:rsid w:val="00CF550D"/>
    <w:rsid w:val="00D504A3"/>
    <w:rsid w:val="00D61C5F"/>
    <w:rsid w:val="00D912B8"/>
    <w:rsid w:val="00DE2036"/>
    <w:rsid w:val="00E36AE2"/>
    <w:rsid w:val="00E730BE"/>
    <w:rsid w:val="00EB0686"/>
    <w:rsid w:val="00ED3C0E"/>
    <w:rsid w:val="00EF3F43"/>
    <w:rsid w:val="00F8709C"/>
    <w:rsid w:val="00FA7F89"/>
    <w:rsid w:val="00FB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78E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78E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78E9"/>
    <w:pPr>
      <w:widowControl w:val="0"/>
      <w:autoSpaceDE w:val="0"/>
      <w:autoSpaceDN w:val="0"/>
      <w:adjustRightInd w:val="0"/>
      <w:spacing w:after="0" w:line="322" w:lineRule="exact"/>
      <w:ind w:firstLine="11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78E9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78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178E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2178E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17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06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78E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78E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78E9"/>
    <w:pPr>
      <w:widowControl w:val="0"/>
      <w:autoSpaceDE w:val="0"/>
      <w:autoSpaceDN w:val="0"/>
      <w:adjustRightInd w:val="0"/>
      <w:spacing w:after="0" w:line="322" w:lineRule="exact"/>
      <w:ind w:firstLine="11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78E9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78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178E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2178E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17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cp:lastPrinted>2015-03-25T09:21:00Z</cp:lastPrinted>
  <dcterms:created xsi:type="dcterms:W3CDTF">2015-03-25T09:19:00Z</dcterms:created>
  <dcterms:modified xsi:type="dcterms:W3CDTF">2015-03-25T09:24:00Z</dcterms:modified>
</cp:coreProperties>
</file>